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59" w:rsidRDefault="00895559" w:rsidP="00895559">
      <w:pPr>
        <w:pStyle w:val="Heading1"/>
        <w:jc w:val="center"/>
        <w:rPr>
          <w:b/>
          <w:bCs/>
        </w:rPr>
      </w:pPr>
      <w:r w:rsidRPr="00502FB0">
        <w:rPr>
          <w:b/>
          <w:bCs/>
        </w:rPr>
        <w:t>ABSTRAK</w:t>
      </w:r>
    </w:p>
    <w:p w:rsidR="00895559" w:rsidRDefault="00895559" w:rsidP="008955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Bank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2014-2020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ketidakstabilan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kredit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NPL</w:t>
      </w:r>
      <w:r>
        <w:rPr>
          <w:rFonts w:ascii="Times New Roman" w:hAnsi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dipengaruhi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perlambatan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pandemi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covid-19.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kestabilannya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NPL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tentunya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bank.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ROA</w:t>
      </w:r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efisiensi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bank, modal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CAR)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diversifikasi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likuiditas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LDR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kredit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NPL</w:t>
      </w:r>
      <w:r>
        <w:rPr>
          <w:rFonts w:ascii="Times New Roman" w:hAnsi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34 bank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2014-2020.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panel model </w:t>
      </w:r>
      <w:r w:rsidRPr="00F80A11">
        <w:rPr>
          <w:rFonts w:ascii="Times New Roman" w:hAnsi="Times New Roman"/>
          <w:i/>
          <w:iCs/>
          <w:sz w:val="24"/>
          <w:szCs w:val="24"/>
          <w:lang w:val="en-US"/>
        </w:rPr>
        <w:t xml:space="preserve">fixed effect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GLS Weight, cross-section weight.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30541">
        <w:rPr>
          <w:rFonts w:ascii="Times New Roman" w:hAnsi="Times New Roman"/>
          <w:i/>
          <w:iCs/>
          <w:sz w:val="24"/>
          <w:szCs w:val="24"/>
          <w:lang w:val="en-US"/>
        </w:rPr>
        <w:t>ROA)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20E0">
        <w:rPr>
          <w:rFonts w:ascii="Times New Roman" w:hAnsi="Times New Roman"/>
          <w:i/>
          <w:iCs/>
          <w:sz w:val="24"/>
          <w:szCs w:val="24"/>
          <w:lang w:val="en-US"/>
        </w:rPr>
        <w:t>NPL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efisiensi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bank,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CAR,</w:t>
      </w:r>
      <w:r w:rsidRPr="00205B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205BDE">
        <w:rPr>
          <w:rFonts w:ascii="Times New Roman" w:hAnsi="Times New Roman"/>
          <w:sz w:val="24"/>
          <w:szCs w:val="24"/>
          <w:lang w:val="en-US"/>
        </w:rPr>
        <w:t>iversifikasi</w:t>
      </w:r>
      <w:proofErr w:type="spellEnd"/>
      <w:r w:rsidRPr="00205B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BDE">
        <w:rPr>
          <w:rFonts w:ascii="Times New Roman" w:hAnsi="Times New Roman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20E0">
        <w:rPr>
          <w:rFonts w:ascii="Times New Roman" w:hAnsi="Times New Roman"/>
          <w:i/>
          <w:iCs/>
          <w:sz w:val="24"/>
          <w:szCs w:val="24"/>
          <w:lang w:val="en-US"/>
        </w:rPr>
        <w:t>NPL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LDR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20E0">
        <w:rPr>
          <w:rFonts w:ascii="Times New Roman" w:hAnsi="Times New Roman"/>
          <w:i/>
          <w:iCs/>
          <w:sz w:val="24"/>
          <w:szCs w:val="24"/>
          <w:lang w:val="en-US"/>
        </w:rPr>
        <w:t>NPL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95559" w:rsidRPr="00205BDE" w:rsidRDefault="00895559" w:rsidP="00895559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NPL, ROA,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Efisiensi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bank,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CAR, LDR.</w:t>
      </w:r>
    </w:p>
    <w:p w:rsidR="00895559" w:rsidRDefault="00895559" w:rsidP="00895559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br w:type="page"/>
      </w:r>
    </w:p>
    <w:p w:rsidR="00895559" w:rsidRPr="00A7119F" w:rsidRDefault="00895559" w:rsidP="00895559">
      <w:pPr>
        <w:pStyle w:val="Heading1"/>
        <w:jc w:val="center"/>
        <w:rPr>
          <w:b/>
          <w:bCs/>
          <w:i/>
          <w:iCs/>
        </w:rPr>
      </w:pPr>
      <w:bookmarkStart w:id="0" w:name="_Toc99876159"/>
      <w:bookmarkStart w:id="1" w:name="_Toc100342771"/>
      <w:bookmarkStart w:id="2" w:name="_Hlk100401707"/>
      <w:r w:rsidRPr="00A7119F">
        <w:rPr>
          <w:b/>
          <w:bCs/>
          <w:i/>
          <w:iCs/>
        </w:rPr>
        <w:lastRenderedPageBreak/>
        <w:t>ABSTRACT</w:t>
      </w:r>
      <w:bookmarkEnd w:id="0"/>
      <w:bookmarkEnd w:id="1"/>
    </w:p>
    <w:p w:rsidR="00895559" w:rsidRDefault="00895559" w:rsidP="00895559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F80A11">
        <w:rPr>
          <w:rFonts w:ascii="Times New Roman" w:hAnsi="Times New Roman"/>
          <w:i/>
          <w:iCs/>
          <w:sz w:val="24"/>
          <w:szCs w:val="24"/>
          <w:lang w:val="en-US"/>
        </w:rPr>
        <w:t>Commercial Banks for the 2014-2020 period experienced instability regarding non-performing loans (NPLs) influenced by the condition of a number of sectors that experienced a slowdown in terms of liquidity and factors of the Covid-19 pandemic. With the instability of the NPL value, it can certainly affect the health of the bank.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F80A11">
        <w:rPr>
          <w:rFonts w:ascii="Times New Roman" w:hAnsi="Times New Roman"/>
          <w:i/>
          <w:iCs/>
          <w:sz w:val="24"/>
          <w:szCs w:val="24"/>
          <w:lang w:val="en-US"/>
        </w:rPr>
        <w:t xml:space="preserve">The purpose of this study is to see the effect of profit (ROA), bank efficiency, capital (CAR), income diversification, and liquidity (LDR) on non-performing loans (NPLs). The samples used were 34 banks for the 2014-2020 </w:t>
      </w:r>
      <w:proofErr w:type="gramStart"/>
      <w:r w:rsidRPr="00F80A11">
        <w:rPr>
          <w:rFonts w:ascii="Times New Roman" w:hAnsi="Times New Roman"/>
          <w:i/>
          <w:iCs/>
          <w:sz w:val="24"/>
          <w:szCs w:val="24"/>
          <w:lang w:val="en-US"/>
        </w:rPr>
        <w:t>period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F80A11">
        <w:rPr>
          <w:rFonts w:ascii="Times New Roman" w:hAnsi="Times New Roman"/>
          <w:i/>
          <w:iCs/>
          <w:sz w:val="24"/>
          <w:szCs w:val="24"/>
          <w:lang w:val="en-US"/>
        </w:rPr>
        <w:t xml:space="preserve">This study used a fixed effect model panel data regression method with the GLS Weight, cross-section weight approach. The results of this study show that profit (ROA) has a positive effect on NPLs, bank efficiency, CAR,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F80A11">
        <w:rPr>
          <w:rFonts w:ascii="Times New Roman" w:hAnsi="Times New Roman"/>
          <w:i/>
          <w:iCs/>
          <w:sz w:val="24"/>
          <w:szCs w:val="24"/>
          <w:lang w:val="en-US"/>
        </w:rPr>
        <w:t>evenue diversification does not affect NPLs, and LDR negatively affects NPLs.</w:t>
      </w:r>
    </w:p>
    <w:p w:rsidR="00895559" w:rsidRPr="00816712" w:rsidRDefault="00895559" w:rsidP="00895559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16712">
        <w:rPr>
          <w:rFonts w:ascii="Times New Roman" w:hAnsi="Times New Roman"/>
          <w:i/>
          <w:iCs/>
          <w:sz w:val="24"/>
          <w:szCs w:val="24"/>
          <w:lang w:val="en-US"/>
        </w:rPr>
        <w:t>Keywords: NPL, ROA, Bank efficiency, CAR, LDR.</w:t>
      </w:r>
    </w:p>
    <w:bookmarkEnd w:id="2"/>
    <w:p w:rsidR="00895559" w:rsidRPr="00E401F5" w:rsidRDefault="00895559" w:rsidP="00895559">
      <w:pPr>
        <w:spacing w:line="360" w:lineRule="auto"/>
        <w:rPr>
          <w:lang w:val="en-US"/>
        </w:rPr>
      </w:pPr>
    </w:p>
    <w:p w:rsidR="003D0A92" w:rsidRDefault="003D0A92"/>
    <w:sectPr w:rsidR="003D0A92" w:rsidSect="003D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Mono Light Tur">
    <w:altName w:val="Calibri"/>
    <w:panose1 w:val="00000000000000000000"/>
    <w:charset w:val="A2"/>
    <w:family w:val="modern"/>
    <w:notTrueType/>
    <w:pitch w:val="fixed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95559"/>
    <w:rsid w:val="003D0A92"/>
    <w:rsid w:val="0089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559"/>
    <w:rPr>
      <w:rFonts w:ascii="DM Mono Light Tur" w:eastAsia="Times New Roman" w:hAnsi="DM Mono Light Tur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559"/>
    <w:pPr>
      <w:spacing w:line="360" w:lineRule="auto"/>
      <w:jc w:val="both"/>
      <w:outlineLvl w:val="0"/>
    </w:pPr>
    <w:rPr>
      <w:rFonts w:ascii="Times New Roman" w:hAnsi="Times New Roman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559"/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Oprekin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SERVER-PERPUS</dc:creator>
  <cp:lastModifiedBy>SERVER-PERPUS</cp:lastModifiedBy>
  <cp:revision>1</cp:revision>
  <dcterms:created xsi:type="dcterms:W3CDTF">2023-01-10T02:09:00Z</dcterms:created>
  <dcterms:modified xsi:type="dcterms:W3CDTF">2023-01-10T02:10:00Z</dcterms:modified>
</cp:coreProperties>
</file>